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E0" w:rsidRDefault="00360181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color w:val="333333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333333"/>
          <w:kern w:val="0"/>
          <w:sz w:val="44"/>
          <w:szCs w:val="44"/>
        </w:rPr>
        <w:t>福建安溪县供销集团冠盛物流有限公司</w:t>
      </w:r>
    </w:p>
    <w:p w:rsidR="00985FE0" w:rsidRDefault="00360181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color w:val="333333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333333"/>
          <w:kern w:val="0"/>
          <w:sz w:val="44"/>
          <w:szCs w:val="44"/>
        </w:rPr>
        <w:t>加油站安全责任书</w:t>
      </w:r>
    </w:p>
    <w:p w:rsidR="00985FE0" w:rsidRDefault="00985FE0">
      <w:pPr>
        <w:widowControl/>
        <w:shd w:val="clear" w:color="auto" w:fill="FFFFFF"/>
        <w:spacing w:line="50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985FE0" w:rsidRPr="00C949E3" w:rsidRDefault="00360181">
      <w:pPr>
        <w:widowControl/>
        <w:shd w:val="clear" w:color="auto" w:fill="FFFFFF"/>
        <w:spacing w:line="540" w:lineRule="exact"/>
        <w:ind w:firstLine="48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为认真贯彻落实“安全第一，预防为主、综合治理”的安全生产方针，强化安全管理，有效遏制重、特大事故的发生，确保员工生命和公司财产的安全，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安溪县供销集团冠盛物流有限公司与加油站承包人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签定安全责任书如下：</w:t>
      </w:r>
    </w:p>
    <w:p w:rsidR="00985FE0" w:rsidRPr="00C949E3" w:rsidRDefault="00360181" w:rsidP="00C949E3">
      <w:pPr>
        <w:widowControl/>
        <w:shd w:val="clear" w:color="auto" w:fill="FFFFFF"/>
        <w:spacing w:line="540" w:lineRule="exact"/>
        <w:ind w:firstLineChars="200" w:firstLine="643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一，加油站必须实现以下安全管理目标：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重伤及以上人身伤亡事故为“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0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”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2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一般机械、设备、火灾事故为“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0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”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</w:p>
    <w:p w:rsidR="00985FE0" w:rsidRPr="00C949E3" w:rsidRDefault="00360181" w:rsidP="00E62F8D">
      <w:pPr>
        <w:widowControl/>
        <w:shd w:val="clear" w:color="auto" w:fill="FFFFFF"/>
        <w:spacing w:line="540" w:lineRule="exact"/>
        <w:ind w:left="640" w:hangingChars="200" w:hanging="64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3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安全设施、安全标志、安全警示的设置率、规范率达到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100%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。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</w:t>
      </w:r>
    </w:p>
    <w:p w:rsidR="00985FE0" w:rsidRPr="00C949E3" w:rsidRDefault="00360181">
      <w:pPr>
        <w:widowControl/>
        <w:shd w:val="clear" w:color="auto" w:fill="FFFFFF"/>
        <w:spacing w:line="540" w:lineRule="exact"/>
        <w:ind w:leftChars="305" w:left="64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二、</w:t>
      </w: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 xml:space="preserve"> </w:t>
      </w: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加油站承包人在安全工作上必须做到以下内容：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、加油站员工上班必须穿戴工作服，严禁穿戴铁掌和钉子的鞋上岗。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2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、加油站内、站区外附近严禁烟火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站区内不得吸烟和使用手机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不得堆放易燃易爆物品。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3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、严禁为塑料桶、喷灯加油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严禁用汽油搓洗衣服和器皿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站内不得使用化纤拖把和抹布。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4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、进站车辆先熄火后加油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不准在站内检修车辆、敲打铁器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客车加油时应让乘客离开加油区，关好门窗，告知不准吸烟、打手机。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5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、带有易燃易爆等危险物品的车辆，禁止进站加油。有加油人员用专用桶到指定区域加油。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lastRenderedPageBreak/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6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、拉油车辆进入罐区必须带有防火罩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卸油时安全员必须现场监护，先接好静电接地，停留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15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分钟以上再接管卸油，开关扳手应使用防暴扳手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用泵卸油要保证不超规定转速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卸汽油时，禁止开泵卸油。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7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、站区内检修作业时必须使用防暴工具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严禁铁器撞击、乱扔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不得随意动火施工，确需动火的，先办申请手续，由施工人员制定切实可行的安全方案，报领导批准后，安排可靠的现场监督人到现场方可动火施工。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8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、站区安全标志必须醒目、齐全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消防器材配备符合规定，不准挪用并定期检查，确保合格有效。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9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、站内电气设备和线路要定期检查，保证安全良好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严禁乱拉乱接电源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;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油罐、加油机、罩棚每半年年期进行防静电、防雷击接地检测。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10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、站区内应使用防暴照明灯具，严禁使用普通灯具和手电照明。</w:t>
      </w:r>
    </w:p>
    <w:p w:rsidR="00985FE0" w:rsidRPr="00C949E3" w:rsidRDefault="00360181">
      <w:pPr>
        <w:widowControl/>
        <w:shd w:val="clear" w:color="auto" w:fill="FFFFFF"/>
        <w:spacing w:line="540" w:lineRule="exact"/>
        <w:ind w:firstLine="48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、实行安全巡检制度，每班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班长在接办、交班时按巡检路线逐点检查，发现问题及时记录并处理，防止事故隐患留给下一班，问题严重时要及时报告承包人。</w:t>
      </w:r>
    </w:p>
    <w:p w:rsidR="00985FE0" w:rsidRPr="00C949E3" w:rsidRDefault="00360181">
      <w:pPr>
        <w:widowControl/>
        <w:shd w:val="clear" w:color="auto" w:fill="FFFFFF"/>
        <w:spacing w:line="540" w:lineRule="exact"/>
        <w:ind w:firstLine="48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12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、定期对站区周围进行检查，及时消除易燃易爆物品及安全隐患，防止危及站区安全的事故发生。</w:t>
      </w:r>
    </w:p>
    <w:p w:rsidR="00985FE0" w:rsidRPr="00C949E3" w:rsidRDefault="00360181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3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、加油站员工在工作场地应注意进出车辆，不得抢行，同时要避让重型车辆后轮部位，确保人身安全。</w:t>
      </w:r>
    </w:p>
    <w:p w:rsidR="00985FE0" w:rsidRPr="00C949E3" w:rsidRDefault="00360181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14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、严格落实安溪县应急局、安溪县供销合作社联合社、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安溪县供销集团冠盛物流有限公司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等其他单位、部门的各项安全生产工作要求和任务。</w:t>
      </w:r>
    </w:p>
    <w:p w:rsidR="00985FE0" w:rsidRPr="00C949E3" w:rsidRDefault="00360181">
      <w:pPr>
        <w:widowControl/>
        <w:shd w:val="clear" w:color="auto" w:fill="FFFFFF"/>
        <w:spacing w:line="540" w:lineRule="exact"/>
        <w:ind w:firstLine="60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lastRenderedPageBreak/>
        <w:t>15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、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加油站承包人为安全工作第一责任人，如因工作不力或违反安全操作规程、法律法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规及本站各项管理制度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造成事故的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，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自愿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接受安溪县供销集团冠盛物流有限公司的有关决定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，并承担一切安全整改及经济赔偿责任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。</w:t>
      </w:r>
    </w:p>
    <w:p w:rsidR="00985FE0" w:rsidRPr="00C949E3" w:rsidRDefault="00360181">
      <w:pPr>
        <w:widowControl/>
        <w:numPr>
          <w:ilvl w:val="0"/>
          <w:numId w:val="1"/>
        </w:numPr>
        <w:shd w:val="clear" w:color="auto" w:fill="FFFFFF"/>
        <w:spacing w:line="540" w:lineRule="exact"/>
        <w:ind w:firstLine="600"/>
        <w:jc w:val="left"/>
        <w:rPr>
          <w:rFonts w:asciiTheme="minorEastAsia" w:hAnsiTheme="minorEastAsia" w:cs="仿宋_GB2312"/>
          <w:b/>
          <w:bCs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安全责任期限：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     </w:t>
      </w:r>
      <w:r w:rsidR="00E62F8D" w:rsidRPr="00C949E3">
        <w:rPr>
          <w:rFonts w:asciiTheme="minorEastAsia" w:hAnsiTheme="minorEastAsia" w:cs="仿宋_GB2312" w:hint="eastAsia"/>
          <w:kern w:val="0"/>
          <w:sz w:val="32"/>
          <w:szCs w:val="32"/>
        </w:rPr>
        <w:t>2026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年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="00E62F8D" w:rsidRPr="00C949E3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月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="00E62F8D" w:rsidRPr="00C949E3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日至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</w:t>
      </w:r>
      <w:r w:rsidR="00E62F8D" w:rsidRPr="00C949E3">
        <w:rPr>
          <w:rFonts w:asciiTheme="minorEastAsia" w:hAnsiTheme="minorEastAsia" w:cs="仿宋_GB2312" w:hint="eastAsia"/>
          <w:kern w:val="0"/>
          <w:sz w:val="32"/>
          <w:szCs w:val="32"/>
        </w:rPr>
        <w:t>2030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 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年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="00E62F8D" w:rsidRPr="00C949E3">
        <w:rPr>
          <w:rFonts w:asciiTheme="minorEastAsia" w:hAnsiTheme="minorEastAsia" w:cs="仿宋_GB2312" w:hint="eastAsia"/>
          <w:kern w:val="0"/>
          <w:sz w:val="32"/>
          <w:szCs w:val="32"/>
        </w:rPr>
        <w:t>12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月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="00E62F8D" w:rsidRPr="00C949E3">
        <w:rPr>
          <w:rFonts w:asciiTheme="minorEastAsia" w:hAnsiTheme="minorEastAsia" w:cs="仿宋_GB2312" w:hint="eastAsia"/>
          <w:kern w:val="0"/>
          <w:sz w:val="32"/>
          <w:szCs w:val="32"/>
        </w:rPr>
        <w:t>31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日</w:t>
      </w:r>
    </w:p>
    <w:p w:rsidR="00985FE0" w:rsidRPr="00C949E3" w:rsidRDefault="00985FE0">
      <w:pPr>
        <w:widowControl/>
        <w:shd w:val="clear" w:color="auto" w:fill="FFFFFF"/>
        <w:wordWrap w:val="0"/>
        <w:spacing w:line="540" w:lineRule="exact"/>
        <w:jc w:val="right"/>
        <w:rPr>
          <w:rFonts w:asciiTheme="minorEastAsia" w:hAnsiTheme="minorEastAsia" w:cs="仿宋_GB2312"/>
          <w:kern w:val="0"/>
          <w:sz w:val="32"/>
          <w:szCs w:val="32"/>
        </w:rPr>
      </w:pPr>
    </w:p>
    <w:p w:rsidR="00985FE0" w:rsidRPr="00C949E3" w:rsidRDefault="00985FE0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福建安溪县供销集团冠盛物流有限公司</w:t>
      </w: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（盖章）</w:t>
      </w: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法人或代表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：</w:t>
      </w:r>
    </w:p>
    <w:p w:rsidR="00985FE0" w:rsidRPr="00C949E3" w:rsidRDefault="00985FE0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</w:p>
    <w:p w:rsidR="00985FE0" w:rsidRPr="00C949E3" w:rsidRDefault="00985FE0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</w:p>
    <w:p w:rsidR="00985FE0" w:rsidRPr="00C949E3" w:rsidRDefault="00985FE0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bookmarkStart w:id="0" w:name="_GoBack"/>
      <w:bookmarkEnd w:id="0"/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加油站承包人</w:t>
      </w: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（签字盖手印）</w:t>
      </w:r>
    </w:p>
    <w:p w:rsidR="00985FE0" w:rsidRPr="00C949E3" w:rsidRDefault="00985FE0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</w:p>
    <w:p w:rsidR="00985FE0" w:rsidRPr="00C949E3" w:rsidRDefault="00360181">
      <w:pPr>
        <w:widowControl/>
        <w:shd w:val="clear" w:color="auto" w:fill="FFFFFF"/>
        <w:wordWrap w:val="0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     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　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                    </w:t>
      </w:r>
    </w:p>
    <w:p w:rsidR="00985FE0" w:rsidRPr="00C949E3" w:rsidRDefault="00985FE0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</w:p>
    <w:p w:rsidR="00985FE0" w:rsidRPr="00C949E3" w:rsidRDefault="00360181">
      <w:pPr>
        <w:widowControl/>
        <w:shd w:val="clear" w:color="auto" w:fill="FFFFFF"/>
        <w:spacing w:line="54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949E3">
        <w:rPr>
          <w:rFonts w:asciiTheme="minorEastAsia" w:hAnsiTheme="minorEastAsia" w:cs="仿宋_GB2312" w:hint="eastAsia"/>
          <w:b/>
          <w:bCs/>
          <w:kern w:val="0"/>
          <w:sz w:val="32"/>
          <w:szCs w:val="32"/>
        </w:rPr>
        <w:t>签订时间：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2025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年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12 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月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 xml:space="preserve"> 31</w:t>
      </w:r>
      <w:r w:rsidRPr="00C949E3">
        <w:rPr>
          <w:rFonts w:asciiTheme="minorEastAsia" w:hAnsiTheme="minorEastAsia" w:cs="仿宋_GB2312" w:hint="eastAsia"/>
          <w:kern w:val="0"/>
          <w:sz w:val="32"/>
          <w:szCs w:val="32"/>
        </w:rPr>
        <w:t>日</w:t>
      </w:r>
    </w:p>
    <w:p w:rsidR="00985FE0" w:rsidRPr="00C949E3" w:rsidRDefault="00985FE0">
      <w:pPr>
        <w:autoSpaceDE w:val="0"/>
        <w:autoSpaceDN w:val="0"/>
        <w:adjustRightInd w:val="0"/>
        <w:spacing w:line="540" w:lineRule="exact"/>
        <w:jc w:val="left"/>
        <w:rPr>
          <w:rFonts w:asciiTheme="minorEastAsia" w:hAnsiTheme="minorEastAsia" w:cs="仿宋_GB2312"/>
          <w:sz w:val="32"/>
          <w:szCs w:val="32"/>
        </w:rPr>
      </w:pPr>
    </w:p>
    <w:sectPr w:rsidR="00985FE0" w:rsidRPr="00C949E3" w:rsidSect="00985FE0">
      <w:footerReference w:type="default" r:id="rId8"/>
      <w:pgSz w:w="11906" w:h="16838"/>
      <w:pgMar w:top="1440" w:right="1576" w:bottom="1440" w:left="15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181" w:rsidRDefault="00360181" w:rsidP="00985FE0">
      <w:r>
        <w:separator/>
      </w:r>
    </w:p>
  </w:endnote>
  <w:endnote w:type="continuationSeparator" w:id="1">
    <w:p w:rsidR="00360181" w:rsidRDefault="00360181" w:rsidP="00985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FE0" w:rsidRDefault="00985FE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985FE0" w:rsidRDefault="00985FE0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360181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C949E3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- 3 -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181" w:rsidRDefault="00360181" w:rsidP="00985FE0">
      <w:r>
        <w:separator/>
      </w:r>
    </w:p>
  </w:footnote>
  <w:footnote w:type="continuationSeparator" w:id="1">
    <w:p w:rsidR="00360181" w:rsidRDefault="00360181" w:rsidP="00985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9BFB3"/>
    <w:multiLevelType w:val="singleLevel"/>
    <w:tmpl w:val="6F49BFB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D19"/>
    <w:rsid w:val="0002293A"/>
    <w:rsid w:val="00060498"/>
    <w:rsid w:val="000D5AA9"/>
    <w:rsid w:val="00140C7C"/>
    <w:rsid w:val="00177457"/>
    <w:rsid w:val="00196C8C"/>
    <w:rsid w:val="0020500C"/>
    <w:rsid w:val="00264ACD"/>
    <w:rsid w:val="002F64D9"/>
    <w:rsid w:val="00340F37"/>
    <w:rsid w:val="00346456"/>
    <w:rsid w:val="00360181"/>
    <w:rsid w:val="0038501E"/>
    <w:rsid w:val="00395152"/>
    <w:rsid w:val="0039551C"/>
    <w:rsid w:val="003F0496"/>
    <w:rsid w:val="00402545"/>
    <w:rsid w:val="0045417A"/>
    <w:rsid w:val="004712AC"/>
    <w:rsid w:val="004807FB"/>
    <w:rsid w:val="00582253"/>
    <w:rsid w:val="005938B1"/>
    <w:rsid w:val="00593C1B"/>
    <w:rsid w:val="0064363B"/>
    <w:rsid w:val="006618F9"/>
    <w:rsid w:val="006C34D0"/>
    <w:rsid w:val="006E4896"/>
    <w:rsid w:val="007866BC"/>
    <w:rsid w:val="0079434E"/>
    <w:rsid w:val="00794FDC"/>
    <w:rsid w:val="007B066C"/>
    <w:rsid w:val="007C23B7"/>
    <w:rsid w:val="007F0A10"/>
    <w:rsid w:val="00861580"/>
    <w:rsid w:val="008672EA"/>
    <w:rsid w:val="00891587"/>
    <w:rsid w:val="00897FB2"/>
    <w:rsid w:val="008B4119"/>
    <w:rsid w:val="008C23BF"/>
    <w:rsid w:val="008E6760"/>
    <w:rsid w:val="00914575"/>
    <w:rsid w:val="00985FE0"/>
    <w:rsid w:val="009A6C17"/>
    <w:rsid w:val="009B7DF9"/>
    <w:rsid w:val="009C6B4B"/>
    <w:rsid w:val="009E6C6D"/>
    <w:rsid w:val="00A2385E"/>
    <w:rsid w:val="00AC39DD"/>
    <w:rsid w:val="00B44D19"/>
    <w:rsid w:val="00B76342"/>
    <w:rsid w:val="00BC635A"/>
    <w:rsid w:val="00BD29AA"/>
    <w:rsid w:val="00BE3DD8"/>
    <w:rsid w:val="00BF4171"/>
    <w:rsid w:val="00BF632A"/>
    <w:rsid w:val="00C13232"/>
    <w:rsid w:val="00C949E3"/>
    <w:rsid w:val="00CA1461"/>
    <w:rsid w:val="00D77D54"/>
    <w:rsid w:val="00E162D7"/>
    <w:rsid w:val="00E45D40"/>
    <w:rsid w:val="00E62F8D"/>
    <w:rsid w:val="00E740A6"/>
    <w:rsid w:val="00EC63C7"/>
    <w:rsid w:val="00EE1070"/>
    <w:rsid w:val="00FE4E0E"/>
    <w:rsid w:val="04A90F6A"/>
    <w:rsid w:val="0B10533B"/>
    <w:rsid w:val="0BA250A2"/>
    <w:rsid w:val="0E355B19"/>
    <w:rsid w:val="139A5BDC"/>
    <w:rsid w:val="1F6D256E"/>
    <w:rsid w:val="389110F4"/>
    <w:rsid w:val="3AF6727A"/>
    <w:rsid w:val="434A49DE"/>
    <w:rsid w:val="4873108E"/>
    <w:rsid w:val="5AB41CC7"/>
    <w:rsid w:val="5E602469"/>
    <w:rsid w:val="681C7EDE"/>
    <w:rsid w:val="7D126BCC"/>
    <w:rsid w:val="7FDF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85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85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985FE0"/>
    <w:rPr>
      <w:b/>
      <w:bCs/>
    </w:rPr>
  </w:style>
  <w:style w:type="character" w:styleId="a6">
    <w:name w:val="Hyperlink"/>
    <w:basedOn w:val="a0"/>
    <w:uiPriority w:val="99"/>
    <w:semiHidden/>
    <w:unhideWhenUsed/>
    <w:qFormat/>
    <w:rsid w:val="00985FE0"/>
    <w:rPr>
      <w:color w:val="136EC2"/>
      <w:u w:val="none"/>
    </w:rPr>
  </w:style>
  <w:style w:type="paragraph" w:styleId="a7">
    <w:name w:val="List Paragraph"/>
    <w:basedOn w:val="a"/>
    <w:uiPriority w:val="34"/>
    <w:qFormat/>
    <w:rsid w:val="00985FE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985F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5F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194</Words>
  <Characters>1111</Characters>
  <Application>Microsoft Office Word</Application>
  <DocSecurity>0</DocSecurity>
  <Lines>9</Lines>
  <Paragraphs>2</Paragraphs>
  <ScaleCrop>false</ScaleCrop>
  <Company>China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22</cp:revision>
  <cp:lastPrinted>2025-11-17T01:57:00Z</cp:lastPrinted>
  <dcterms:created xsi:type="dcterms:W3CDTF">2022-01-05T09:00:00Z</dcterms:created>
  <dcterms:modified xsi:type="dcterms:W3CDTF">2025-12-11T06:59:00Z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eyJoZGlkIjoiMjY3NTE2MTFhOTNiZDBhYzVkY2FlZDliZGM2ODEzNjIiLCJ1c2VySWQiOiIzNDQ5OTQ0OTcifQ==</vt:lpwstr>
  </property>
  <property fmtid="{D5CDD505-2E9C-101B-9397-08002B2CF9AE}" pid="4" name="ICV">
    <vt:lpwstr>2B95709C5EFA4A33A1145DF5994E0D7E_12</vt:lpwstr>
  </property>
</Properties>
</file>